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  <w:t>产业转型升级资金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  <w:t>其他零余额资金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  <w:t>基本户资金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（疫情防控项目）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658高碑店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高碑店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丁可香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85773588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327.820228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327.820228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327.820228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228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536228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228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536228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228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536228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7840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7840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7840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增强预防和应对处置突发事件能力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；保障无专项资金的科室的应急资金支出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确保地区核酸检测点、疫苗接种点的正常运转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疫苗接种点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保证高质量高利用率地使用资金，服务民生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根据工作需要及合同规定完成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不超过年初预算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327.820228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做好疫情防控工作，确保人民群众生命安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和身体健康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受益群众满意度95%以上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eastAsia="宋体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张益琳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85775873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/>
          <w:lang w:val="en-US" w:eastAsia="zh-CN"/>
        </w:rPr>
        <w:t>2022.1.14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985FC6"/>
    <w:rsid w:val="01985FC6"/>
    <w:rsid w:val="65F2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2022-01-14T03:25:00Z</dcterms:created>
  <dc:creator>张大白</dc:creator>
  <cp:lastModifiedBy>张大白</cp:lastModifiedBy>
  <dcterms:modified xsi:type="dcterms:W3CDTF">2022-01-14T06:41:24Z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51B1EEADA49D4534948B21E34E6B1C51</vt:lpwstr>
  </property>
</Properties>
</file>